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395A9A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1.联系我们的界面表单与设计稿不一致。</w:t>
      </w:r>
    </w:p>
    <w:p w14:paraId="2764AA81">
      <w:r>
        <w:drawing>
          <wp:inline distT="0" distB="0" distL="114300" distR="114300">
            <wp:extent cx="5262245" cy="2295525"/>
            <wp:effectExtent l="0" t="0" r="1460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044E7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设计稿：</w:t>
      </w:r>
    </w:p>
    <w:p w14:paraId="2994C5E4"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62245" cy="2421255"/>
            <wp:effectExtent l="0" t="0" r="14605" b="171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242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wNzU0NDllMzFjZmE5NWM4OGUyNTNkNDAzODk1ZjEifQ=="/>
  </w:docVars>
  <w:rsids>
    <w:rsidRoot w:val="32D604B8"/>
    <w:rsid w:val="32D6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2024-11-13T09:42:00Z</dcterms:created>
  <dc:creator>AOO世通仪器计量校准  诗诗</dc:creator>
  <cp:lastModifiedBy>AOO世通仪器计量校准  诗诗</cp:lastModifiedBy>
  <dcterms:modified xsi:type="dcterms:W3CDTF">2024-11-13T09:44:36Z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A8BF5C5A18994D81AA2301463029BD70_11</vt:lpwstr>
  </property>
</Properties>
</file>